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Calibri" w:eastAsia="Calibri" w:hAnsi="Arial"/>
          <w:b/>
          <w:bCs/>
          <w:color w:val="1F1B14"/>
          <w:sz w:val="52"/>
          <w:szCs w:val="44"/>
        </w:rPr>
        <w:t xml:space="preserve">Product Launch Template</w:t>
      </w:r>
    </w:p>
    <w:p>
      <w:pPr>
        <w:spacing w:after="100"/>
      </w:pPr>
      <w:r>
        <w:rPr>
          <w:rFonts w:ascii="Arial" w:cs="Calibri" w:eastAsia="Calibri" w:hAnsi="Arial"/>
          <w:i/>
          <w:iCs/>
          <w:color w:val="595959"/>
          <w:sz w:val="21"/>
          <w:szCs w:val="21"/>
        </w:rPr>
        <w:t xml:space="preserve">How to use this: Start with your tier, cross out what you don’t need, set your KPIs, and assign owners before you kick off.</w:t>
      </w:r>
    </w:p>
    <w:p>
      <w:pPr>
        <w:pStyle w:val="Heading1"/>
        <w:keepNext/>
        <w:pBdr>
          <w:bottom w:val="single" w:color="1F4E79" w:sz="8" w:space="2"/>
        </w:pBdr>
        <w:spacing w:after="120" w:before="280"/>
      </w:pPr>
      <w:r>
        <w:rPr>
          <w:rFonts w:ascii="Arial" w:cs="Calibri" w:eastAsia="Calibri" w:hAnsi="Arial"/>
          <w:b/>
          <w:bCs/>
          <w:color w:val="1F1B14"/>
          <w:sz w:val="30"/>
          <w:szCs w:val="30"/>
        </w:rPr>
        <w:t xml:space="preserve">1. Launch overview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080"/>
      </w:tblGrid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1"/>
              </w:rPr>
              <w:t xml:space="preserve">Product/feature name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shd w:val="clear" w:fill="1F1B14"/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1"/>
                <w:szCs w:val="21"/>
              </w:rPr>
              <w:t xml:space="preserve">Launch tier (1-5)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1"/>
                <w:szCs w:val="21"/>
              </w:rPr>
              <w:t xml:space="preserve">Target launch date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Calibri" w:eastAsia="Calibri" w:hAnsi="Arial"/>
                <w:i/>
                <w:iCs/>
                <w:color w:val="8C8C8C"/>
                <w:sz w:val="18"/>
                <w:szCs w:val="18"/>
              </w:rPr>
              <w:t xml:space="preserve">Work back 3-4 months for tier 1 and 2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1"/>
                <w:szCs w:val="21"/>
              </w:rPr>
              <w:t xml:space="preserve">Audience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Calibri" w:eastAsia="Calibri" w:hAnsi="Arial"/>
                <w:i/>
                <w:iCs/>
                <w:color w:val="8C8C8C"/>
                <w:sz w:val="18"/>
                <w:szCs w:val="18"/>
              </w:rPr>
              <w:t xml:space="preserve">Who is this for?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1"/>
                <w:szCs w:val="21"/>
              </w:rPr>
              <w:t xml:space="preserve">Problem we're solving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1"/>
                <w:szCs w:val="21"/>
              </w:rPr>
              <w:t xml:space="preserve">Why now?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Calibri" w:eastAsia="Calibri" w:hAnsi="Arial"/>
                <w:i/>
                <w:iCs/>
                <w:color w:val="8C8C8C"/>
                <w:sz w:val="18"/>
                <w:szCs w:val="18"/>
              </w:rPr>
              <w:t xml:space="preserve">Conference, market moment, competitor move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1"/>
                <w:szCs w:val="21"/>
              </w:rPr>
              <w:t xml:space="preserve">Launch lead (PMM)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1"/>
                <w:szCs w:val="21"/>
              </w:rPr>
              <w:t xml:space="preserve">Scrum Master/project lead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Arial" w:cs="Calibri" w:eastAsia="Calibri" w:hAnsi="Arial"/>
                <w:i/>
                <w:iCs/>
                <w:color w:val="8C8C8C"/>
                <w:sz w:val="18"/>
                <w:szCs w:val="18"/>
              </w:rPr>
              <w:t xml:space="preserve">If none, this is you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1"/>
                <w:szCs w:val="21"/>
              </w:rPr>
              <w:t xml:space="preserve">Executive stakeholder</w:t>
            </w:r>
          </w:p>
        </w:tc>
        <w:tc>
          <w:tcPr>
            <w:tcW w:type="dxa" w:w="70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/>
        </w:tc>
      </w:tr>
    </w:tbl>
    <w:p>
      <w:pPr>
        <w:pStyle w:val="Heading1"/>
        <w:keepNext/>
        <w:pBdr>
          <w:bottom w:val="single" w:color="1F4E79" w:sz="8" w:space="2"/>
        </w:pBdr>
        <w:spacing w:after="120" w:before="280"/>
      </w:pPr>
      <w:r>
        <w:rPr>
          <w:rFonts w:ascii="Arial" w:cs="Calibri" w:eastAsia="Calibri" w:hAnsi="Arial"/>
          <w:b/>
          <w:bCs/>
          <w:color w:val="1F1B14"/>
          <w:sz w:val="30"/>
          <w:szCs w:val="30"/>
        </w:rPr>
        <w:t xml:space="preserve">2. Launch goals and KPIs</w:t>
      </w:r>
    </w:p>
    <w:p>
      <w:pPr>
        <w:spacing w:after="100"/>
      </w:pPr>
      <w:r>
        <w:rPr>
          <w:rFonts w:ascii="Arial" w:cs="Calibri" w:eastAsia="Calibri" w:hAnsi="Arial"/>
          <w:sz w:val="22"/>
          <w:szCs w:val="22"/>
        </w:rPr>
        <w:t xml:space="preserve">Pick 3 to 5 that matter most for this launch. Set targets before kickoff, and review at 30, 60, and 90 days.</w:t>
      </w:r>
    </w:p>
    <w:p>
      <w:pPr>
        <w:spacing w:after="100"/>
      </w:pPr>
      <w:r>
        <w:rPr>
          <w:rFonts w:ascii="Arial" w:cs="Calibri" w:eastAsia="Calibri" w:hAnsi="Arial"/>
          <w:i/>
          <w:iCs/>
          <w:color w:val="595959"/>
          <w:sz w:val="21"/>
          <w:szCs w:val="21"/>
        </w:rPr>
        <w:t xml:space="preserve">Tip: Match your KPIs to your tier. A tier 1 launch should have a revenue goal, while a smaller launch may only need adoption and awareness.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780"/>
        <w:gridCol w:w="1200"/>
        <w:gridCol w:w="1200"/>
        <w:gridCol w:w="2000"/>
        <w:gridCol w:w="1400"/>
      </w:tblGrid>
      <w:tr>
        <w:trPr>
          <w:cantSplit/>
          <w:tblHeader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Category</w:t>
            </w:r>
          </w:p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KPI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Baseline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Target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How we'll measure</w:t>
            </w:r>
          </w:p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Revenue</w:t>
            </w:r>
          </w:p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Revenue or pipeline goal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New vs. existing customer sales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Adoption</w:t>
            </w:r>
          </w:p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% of customers using the product/feature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Activation rate or time to first use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Awareness and demand</w:t>
            </w:r>
          </w:p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Landing page traffic, leads, demo requests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Campaign engagement, PR/press coverage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Sales and partner readiness</w:t>
            </w:r>
          </w:p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Enablement completion rate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Partner-sourced deals or partner activity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Customer experience</w:t>
            </w:r>
          </w:p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Support tickets related to the launch, feedback or NPS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Launch execution</w:t>
            </w:r>
          </w:p>
        </w:tc>
        <w:tc>
          <w:tcPr>
            <w:tcW w:type="dxa" w:w="2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Launch date hit, % of tasks completed on time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pStyle w:val="Heading1"/>
        <w:keepNext/>
        <w:pBdr>
          <w:bottom w:val="single" w:color="1F4E79" w:sz="8" w:space="2"/>
        </w:pBdr>
        <w:spacing w:after="120" w:before="280"/>
      </w:pPr>
      <w:r>
        <w:rPr>
          <w:rFonts w:ascii="Arial" w:cs="Calibri" w:eastAsia="Calibri" w:hAnsi="Arial"/>
          <w:b/>
          <w:bCs/>
          <w:color w:val="1F1B14"/>
          <w:sz w:val="30"/>
          <w:szCs w:val="30"/>
        </w:rPr>
        <w:t xml:space="preserve">3. Launch checklist</w:t>
      </w:r>
    </w:p>
    <w:p>
      <w:pPr>
        <w:spacing w:after="100"/>
      </w:pPr>
      <w:r>
        <w:rPr>
          <w:rFonts w:ascii="Arial" w:cs="Calibri" w:eastAsia="Calibri" w:hAnsi="Arial"/>
          <w:sz w:val="22"/>
          <w:szCs w:val="22"/>
        </w:rPr>
        <w:t xml:space="preserve">Mark each item: </w:t>
      </w:r>
      <w:r>
        <w:rPr>
          <w:rFonts w:ascii="Arial" w:cs="Calibri" w:eastAsia="Calibri" w:hAnsi="Arial"/>
          <w:b/>
          <w:bCs/>
          <w:sz w:val="22"/>
          <w:szCs w:val="22"/>
        </w:rPr>
        <w:t xml:space="preserve">Need / Don’t need / Owner / Due date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780"/>
        <w:gridCol w:w="1200"/>
        <w:gridCol w:w="1800"/>
        <w:gridCol w:w="1600"/>
      </w:tblGrid>
      <w:tr>
        <w:trPr>
          <w:cantSplit/>
          <w:tblHeader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Category</w:t>
            </w:r>
          </w:p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Item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Need?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Owner</w:t>
            </w:r>
          </w:p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Due date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Foundation</w:t>
            </w:r>
          </w:p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Messaging and positioning doc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Product release notes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Internal training</w:t>
            </w:r>
          </w:p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Product docs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Sales and support enablement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Internal training sessions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Website</w:t>
            </w:r>
          </w:p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Landing pages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Product pages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Assets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Partner marketing</w:t>
            </w:r>
          </w:p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Partner portal updates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Partner communications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Campaigns</w:t>
            </w:r>
          </w:p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Promo to new customers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Promo to existing customers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Videos and tutorials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PR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Event/conference tie-in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>
            <w:r>
              <w:rPr>
                <w:rFonts w:ascii="Arial" w:cs="Calibri" w:eastAsia="Calibri" w:hAnsi="Arial"/>
                <w:b/>
                <w:bCs/>
                <w:color w:val="1F1B14"/>
                <w:sz w:val="20"/>
                <w:szCs w:val="20"/>
              </w:rPr>
              <w:t xml:space="preserve">Customer-facing</w:t>
            </w:r>
          </w:p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Knowledge base articles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17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F5EFE1"/>
          </w:tcPr>
          <w:p/>
        </w:tc>
        <w:tc>
          <w:tcPr>
            <w:tcW w:type="dxa" w:w="37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Arial" w:cs="Calibri" w:eastAsia="Calibri" w:hAnsi="Arial"/>
                <w:b w:val="false"/>
                <w:bCs w:val="false"/>
                <w:sz w:val="20"/>
                <w:szCs w:val="20"/>
              </w:rPr>
              <w:t xml:space="preserve">Support readiness</w:t>
            </w:r>
          </w:p>
        </w:tc>
        <w:tc>
          <w:tcPr>
            <w:tcW w:type="dxa" w:w="1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pStyle w:val="Heading1"/>
        <w:keepNext/>
        <w:pBdr>
          <w:bottom w:val="single" w:color="1F4E79" w:sz="8" w:space="2"/>
        </w:pBdr>
        <w:spacing w:after="120" w:before="280"/>
      </w:pPr>
      <w:r>
        <w:rPr>
          <w:rFonts w:ascii="Arial" w:cs="Calibri" w:eastAsia="Calibri" w:hAnsi="Arial"/>
          <w:b/>
          <w:bCs/>
          <w:color w:val="1F1B14"/>
          <w:sz w:val="30"/>
          <w:szCs w:val="30"/>
        </w:rPr>
        <w:t xml:space="preserve">4. Task owners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1800"/>
        <w:gridCol w:w="1400"/>
        <w:gridCol w:w="1880"/>
      </w:tblGrid>
      <w:tr>
        <w:trPr>
          <w:cantSplit/>
          <w:tblHeader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Task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Owner</w:t>
            </w:r>
          </w:p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Manager approved?</w:t>
            </w:r>
          </w:p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Hours/week</w:t>
            </w:r>
          </w:p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shd w:val="clear" w:fill="1F1B14"/>
          </w:tcPr>
          <w:p>
            <w:r>
              <w:rPr>
                <w:rFonts w:ascii="Arial" w:cs="Calibri" w:eastAsia="Calibri" w:hAnsi="Arial"/>
                <w:b/>
                <w:bCs/>
                <w:color w:val="F5EFE1"/>
                <w:sz w:val="18"/>
                <w:szCs w:val="20"/>
              </w:rPr>
              <w:t xml:space="preserve">Start sprint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88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spacing w:after="80"/>
      </w:pPr>
    </w:p>
    <w:p>
      <w:pPr>
        <w:spacing w:after="100"/>
      </w:pPr>
      <w:r>
        <w:rPr>
          <w:rFonts w:ascii="Arial" w:cs="Calibri" w:eastAsia="Calibri" w:hAnsi="Arial"/>
          <w:i/>
          <w:iCs/>
          <w:color w:val="595959"/>
          <w:sz w:val="21"/>
          <w:szCs w:val="21"/>
        </w:rPr>
        <w:t xml:space="preserve">Reminder: get manager buy-in before you commit anyone’s time.</w:t>
      </w:r>
    </w:p>
    <w:p>
      <w:pPr>
        <w:pStyle w:val="Heading1"/>
        <w:keepNext/>
        <w:pBdr>
          <w:bottom w:val="single" w:color="1F4E79" w:sz="8" w:space="2"/>
        </w:pBdr>
        <w:spacing w:after="120" w:before="280"/>
      </w:pPr>
      <w:r>
        <w:rPr>
          <w:rFonts w:ascii="Arial" w:cs="Calibri" w:eastAsia="Calibri" w:hAnsi="Arial"/>
          <w:b/>
          <w:bCs/>
          <w:color w:val="1F1B14"/>
          <w:sz w:val="30"/>
          <w:szCs w:val="30"/>
        </w:rPr>
        <w:t xml:space="preserve">5. Kickoff agenda (30-45 min)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What the launch is about (PMM)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Who the audience is and what we’re solving for (PMM)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Goals and KPIs (PMM)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Plan, timeline, and sprint schedule (Scrum Master)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Questions and blockers</w:t>
      </w:r>
    </w:p>
    <w:p>
      <w:pPr>
        <w:pStyle w:val="Heading1"/>
        <w:keepNext/>
        <w:pBdr>
          <w:bottom w:val="single" w:color="1F4E79" w:sz="8" w:space="2"/>
        </w:pBdr>
        <w:spacing w:after="120" w:before="280"/>
      </w:pPr>
      <w:r>
        <w:rPr>
          <w:rFonts w:ascii="Arial" w:cs="Calibri" w:eastAsia="Calibri" w:hAnsi="Arial"/>
          <w:b/>
          <w:bCs/>
          <w:color w:val="1F1B14"/>
          <w:sz w:val="30"/>
          <w:szCs w:val="30"/>
        </w:rPr>
        <w:t xml:space="preserve">6. Sprint rhythm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b/>
          <w:bCs/>
          <w:sz w:val="22"/>
          <w:szCs w:val="22"/>
        </w:rPr>
        <w:t xml:space="preserve">Cadence: </w:t>
      </w:r>
      <w:r>
        <w:rPr>
          <w:rFonts w:ascii="Arial" w:cs="Calibri" w:eastAsia="Calibri" w:hAnsi="Arial"/>
          <w:sz w:val="22"/>
          <w:szCs w:val="22"/>
        </w:rPr>
        <w:t xml:space="preserve">every 2 weeks, same day (ours was Tuesday)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b/>
          <w:bCs/>
          <w:sz w:val="22"/>
          <w:szCs w:val="22"/>
        </w:rPr>
        <w:t xml:space="preserve">Length: </w:t>
      </w:r>
      <w:r>
        <w:rPr>
          <w:rFonts w:ascii="Arial" w:cs="Calibri" w:eastAsia="Calibri" w:hAnsi="Arial"/>
          <w:sz w:val="22"/>
          <w:szCs w:val="22"/>
        </w:rPr>
        <w:t xml:space="preserve">30 minutes or less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b/>
          <w:bCs/>
          <w:sz w:val="22"/>
          <w:szCs w:val="22"/>
        </w:rPr>
        <w:t xml:space="preserve">Attendees: </w:t>
      </w:r>
      <w:r>
        <w:rPr>
          <w:rFonts w:ascii="Arial" w:cs="Calibri" w:eastAsia="Calibri" w:hAnsi="Arial"/>
          <w:sz w:val="22"/>
          <w:szCs w:val="22"/>
        </w:rPr>
        <w:t xml:space="preserve">only owners with tasks in the current sprint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b/>
          <w:bCs/>
          <w:sz w:val="22"/>
          <w:szCs w:val="22"/>
        </w:rPr>
        <w:t xml:space="preserve">Format: </w:t>
      </w:r>
      <w:r>
        <w:rPr>
          <w:rFonts w:ascii="Arial" w:cs="Calibri" w:eastAsia="Calibri" w:hAnsi="Arial"/>
          <w:sz w:val="22"/>
          <w:szCs w:val="22"/>
        </w:rPr>
        <w:t xml:space="preserve">walk the board, then each owner gives their status, blockers, and whether they need more time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b/>
          <w:bCs/>
          <w:sz w:val="22"/>
          <w:szCs w:val="22"/>
        </w:rPr>
        <w:t xml:space="preserve">Rule: </w:t>
      </w:r>
      <w:r>
        <w:rPr>
          <w:rFonts w:ascii="Arial" w:cs="Calibri" w:eastAsia="Calibri" w:hAnsi="Arial"/>
          <w:sz w:val="22"/>
          <w:szCs w:val="22"/>
        </w:rPr>
        <w:t xml:space="preserve">unfinished tasks roll into the next sprint</w:t>
      </w:r>
    </w:p>
    <w:p>
      <w:pPr>
        <w:pStyle w:val="Heading1"/>
        <w:keepNext/>
        <w:pBdr>
          <w:bottom w:val="single" w:color="1F4E79" w:sz="8" w:space="2"/>
        </w:pBdr>
        <w:spacing w:after="120" w:before="280"/>
      </w:pPr>
      <w:r>
        <w:rPr>
          <w:rFonts w:ascii="Arial" w:cs="Calibri" w:eastAsia="Calibri" w:hAnsi="Arial"/>
          <w:b/>
          <w:bCs/>
          <w:color w:val="1F1B14"/>
          <w:sz w:val="30"/>
          <w:szCs w:val="30"/>
        </w:rPr>
        <w:t xml:space="preserve">7. Sprint order (typical)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Messaging, positioning, and release docs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Internal enablement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Website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Partner and campaign assets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Launch and post-launch review</w:t>
      </w:r>
    </w:p>
    <w:p>
      <w:pPr>
        <w:pStyle w:val="Heading1"/>
        <w:keepNext/>
        <w:pBdr>
          <w:bottom w:val="single" w:color="1F4E79" w:sz="8" w:space="2"/>
        </w:pBdr>
        <w:spacing w:after="120" w:before="280"/>
      </w:pPr>
      <w:r>
        <w:rPr>
          <w:rFonts w:ascii="Arial" w:cs="Calibri" w:eastAsia="Calibri" w:hAnsi="Arial"/>
          <w:b/>
          <w:bCs/>
          <w:color w:val="1F1B14"/>
          <w:sz w:val="30"/>
          <w:szCs w:val="30"/>
        </w:rPr>
        <w:t xml:space="preserve">8. Post-launch review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Did we hit our KPIs, and why or why not?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What worked?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What didn’t?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Calibri" w:eastAsia="Calibri" w:hAnsi="Arial"/>
          <w:sz w:val="22"/>
          <w:szCs w:val="22"/>
        </w:rPr>
        <w:t xml:space="preserve">What goes into the playbook for next time?</w:t>
      </w:r>
    </w:p>
    <w:p>
      <w:pPr>
        <w:spacing w:after="80"/>
      </w:pPr>
    </w:p>
    <w:p>
      <w:pPr>
        <w:spacing w:after="100"/>
      </w:pPr>
      <w:r>
        <w:rPr>
          <w:rFonts w:ascii="Arial" w:cs="Calibri" w:eastAsia="Calibri" w:hAnsi="Arial"/>
          <w:i/>
          <w:iCs/>
          <w:color w:val="595959"/>
          <w:sz w:val="21"/>
          <w:szCs w:val="21"/>
        </w:rPr>
        <w:t xml:space="preserve"/>
      </w:r>
    </w:p>
    <w:sectPr>
      <w:headerReference w:type="default" r:id="rId8"/>
      <w:footerReference w:type="default" r:id="rId9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rial" w:hAnsi="Arial"/>
        <w:color w:val="6E655A"/>
        <w:sz w:val="16"/>
      </w:rPr>
      <w:t>sdpmg.com  ·  Product Launch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2" w:color="C9A227"/>
      </w:pBdr>
    </w:pPr>
    <w:r/>
    <w:r>
      <w:rPr>
        <w:rFonts w:ascii="Arial" w:hAnsi="Arial"/>
        <w:b/>
        <w:color w:val="1F1B14"/>
        <w:sz w:val="32"/>
      </w:rPr>
      <w:t>SDPMG</w:t>
    </w:r>
    <w:r>
      <w:rPr>
        <w:rFonts w:ascii="Arial" w:hAnsi="Arial"/>
        <w:color w:val="A8851C"/>
        <w:sz w:val="16"/>
      </w:rPr>
      <w:t xml:space="preserve">   SAN DIEGO PRODUCT MARKETING GROUP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1F4E79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2026-10-01T22:44:47.629Z</dcterms:created>
  <dcterms:modified xsi:type="dcterms:W3CDTF">2026-10-01T22:44:47.636Z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